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4236F" w:rsidTr="0082310F">
        <w:tc>
          <w:tcPr>
            <w:tcW w:w="8644" w:type="dxa"/>
            <w:gridSpan w:val="3"/>
          </w:tcPr>
          <w:p w:rsidR="0014236F" w:rsidRPr="00F96FEA" w:rsidRDefault="00476E03" w:rsidP="00476E03">
            <w:pPr>
              <w:ind w:firstLine="142"/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 xml:space="preserve">DENOMINACIÓN: </w:t>
            </w:r>
            <w:r w:rsidRPr="00F96FEA">
              <w:rPr>
                <w:rFonts w:ascii="Garamond" w:hAnsi="Garamond"/>
                <w:sz w:val="24"/>
                <w:szCs w:val="24"/>
              </w:rPr>
              <w:t>Dehesa de Banco</w:t>
            </w:r>
          </w:p>
        </w:tc>
      </w:tr>
      <w:tr w:rsidR="0014236F" w:rsidTr="001F4DD5">
        <w:tc>
          <w:tcPr>
            <w:tcW w:w="8644" w:type="dxa"/>
            <w:gridSpan w:val="3"/>
          </w:tcPr>
          <w:p w:rsidR="0014236F" w:rsidRPr="00F96FEA" w:rsidRDefault="00476E03" w:rsidP="00476E03">
            <w:pPr>
              <w:ind w:firstLine="142"/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 xml:space="preserve">LOCALIZACIÓN: </w:t>
            </w:r>
            <w:proofErr w:type="spellStart"/>
            <w:r w:rsidRPr="00F96FEA">
              <w:rPr>
                <w:rFonts w:ascii="Garamond" w:hAnsi="Garamond"/>
                <w:sz w:val="24"/>
                <w:szCs w:val="24"/>
              </w:rPr>
              <w:t>Aznalcázar</w:t>
            </w:r>
            <w:proofErr w:type="spellEnd"/>
            <w:r w:rsidRPr="00F96FEA">
              <w:rPr>
                <w:rFonts w:ascii="Garamond" w:hAnsi="Garamond"/>
                <w:sz w:val="24"/>
                <w:szCs w:val="24"/>
              </w:rPr>
              <w:t xml:space="preserve"> (Sevilla)</w:t>
            </w:r>
          </w:p>
        </w:tc>
      </w:tr>
      <w:tr w:rsidR="0014236F" w:rsidTr="00FC653E">
        <w:tc>
          <w:tcPr>
            <w:tcW w:w="8644" w:type="dxa"/>
            <w:gridSpan w:val="3"/>
          </w:tcPr>
          <w:p w:rsidR="0014236F" w:rsidRPr="00F96FEA" w:rsidRDefault="00476E03" w:rsidP="00476E03">
            <w:pPr>
              <w:ind w:firstLine="142"/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 xml:space="preserve">RECURSO: </w:t>
            </w:r>
            <w:r w:rsidRPr="00F96FEA">
              <w:rPr>
                <w:rFonts w:ascii="Garamond" w:hAnsi="Garamond"/>
                <w:sz w:val="24"/>
                <w:szCs w:val="24"/>
              </w:rPr>
              <w:t>Tierra para pastos</w:t>
            </w:r>
          </w:p>
        </w:tc>
      </w:tr>
      <w:tr w:rsidR="0014236F" w:rsidTr="0014236F">
        <w:tc>
          <w:tcPr>
            <w:tcW w:w="2881" w:type="dxa"/>
          </w:tcPr>
          <w:p w:rsidR="0014236F" w:rsidRPr="00F96FEA" w:rsidRDefault="0014236F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14236F" w:rsidRPr="00F96FEA" w:rsidRDefault="00476E03" w:rsidP="00476E0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Tipo</w:t>
            </w:r>
          </w:p>
        </w:tc>
        <w:tc>
          <w:tcPr>
            <w:tcW w:w="2882" w:type="dxa"/>
          </w:tcPr>
          <w:p w:rsidR="0014236F" w:rsidRPr="00F96FEA" w:rsidRDefault="00476E03" w:rsidP="00476E0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Titulares–Integrantes- Agentes sociales implicados</w:t>
            </w:r>
          </w:p>
        </w:tc>
      </w:tr>
      <w:tr w:rsidR="0014236F" w:rsidTr="0014236F"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Propiedad</w:t>
            </w:r>
          </w:p>
        </w:tc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Sociedad civil</w:t>
            </w:r>
          </w:p>
        </w:tc>
        <w:tc>
          <w:tcPr>
            <w:tcW w:w="2882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Asociación de Criadores de Ganado Vacuno y Yeguar</w:t>
            </w:r>
          </w:p>
        </w:tc>
      </w:tr>
      <w:tr w:rsidR="0014236F" w:rsidTr="0014236F"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Gestión</w:t>
            </w:r>
          </w:p>
        </w:tc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Junta Directiva Anual</w:t>
            </w: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Junta General</w:t>
            </w:r>
          </w:p>
        </w:tc>
        <w:tc>
          <w:tcPr>
            <w:tcW w:w="2882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Presidente, Vicepresidente, Secretario, Tesorero y dos vocales</w:t>
            </w:r>
          </w:p>
          <w:p w:rsidR="00476E03" w:rsidRPr="00F96FEA" w:rsidRDefault="00476E03" w:rsidP="00476E0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Socios inscritos en el libro de registro</w:t>
            </w:r>
          </w:p>
        </w:tc>
        <w:bookmarkStart w:id="0" w:name="_GoBack"/>
        <w:bookmarkEnd w:id="0"/>
      </w:tr>
      <w:tr w:rsidR="0014236F" w:rsidTr="0014236F"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Aprovechamiento</w:t>
            </w:r>
          </w:p>
        </w:tc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Ganadero (20 vacas y 10 yeguas por ganadero)</w:t>
            </w:r>
          </w:p>
        </w:tc>
        <w:tc>
          <w:tcPr>
            <w:tcW w:w="2882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 xml:space="preserve">Vecinos domiciliados y empadronados en </w:t>
            </w:r>
            <w:proofErr w:type="spellStart"/>
            <w:r w:rsidRPr="00F96FEA">
              <w:rPr>
                <w:rFonts w:ascii="Garamond" w:hAnsi="Garamond"/>
                <w:sz w:val="24"/>
                <w:szCs w:val="24"/>
              </w:rPr>
              <w:t>Aznalcázar</w:t>
            </w:r>
            <w:proofErr w:type="spellEnd"/>
          </w:p>
        </w:tc>
      </w:tr>
      <w:tr w:rsidR="0014236F" w:rsidTr="0014236F"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Trabajos colectivos</w:t>
            </w:r>
          </w:p>
        </w:tc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Poner hierro a las bestias</w:t>
            </w: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 xml:space="preserve">Traslado del ganado a “Cerrado Garrido” (linda con </w:t>
            </w:r>
            <w:proofErr w:type="spellStart"/>
            <w:r w:rsidRPr="00F96FEA">
              <w:rPr>
                <w:rFonts w:ascii="Garamond" w:hAnsi="Garamond"/>
                <w:sz w:val="24"/>
                <w:szCs w:val="24"/>
              </w:rPr>
              <w:t>Doñana</w:t>
            </w:r>
            <w:proofErr w:type="spellEnd"/>
            <w:r w:rsidRPr="00F96FEA">
              <w:rPr>
                <w:rFonts w:ascii="Garamond" w:hAnsi="Garamond"/>
                <w:sz w:val="24"/>
                <w:szCs w:val="24"/>
              </w:rPr>
              <w:t>)</w:t>
            </w: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Etc.</w:t>
            </w:r>
          </w:p>
        </w:tc>
        <w:tc>
          <w:tcPr>
            <w:tcW w:w="2882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Guardas, propietarios del ganado y vecinos</w:t>
            </w: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76E03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 xml:space="preserve">Acontecimiento </w:t>
            </w:r>
            <w:proofErr w:type="spellStart"/>
            <w:r w:rsidRPr="00F96FEA">
              <w:rPr>
                <w:rFonts w:ascii="Garamond" w:hAnsi="Garamond"/>
                <w:sz w:val="24"/>
                <w:szCs w:val="24"/>
              </w:rPr>
              <w:t>supravecinal</w:t>
            </w:r>
            <w:proofErr w:type="spellEnd"/>
            <w:r w:rsidRPr="00F96FEA">
              <w:rPr>
                <w:rFonts w:ascii="Garamond" w:hAnsi="Garamond"/>
                <w:sz w:val="24"/>
                <w:szCs w:val="24"/>
              </w:rPr>
              <w:t>.</w:t>
            </w:r>
            <w:r w:rsidRPr="00F96FE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14236F" w:rsidTr="0014236F">
        <w:tc>
          <w:tcPr>
            <w:tcW w:w="2881" w:type="dxa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Conflictos</w:t>
            </w:r>
          </w:p>
        </w:tc>
        <w:tc>
          <w:tcPr>
            <w:tcW w:w="2881" w:type="dxa"/>
          </w:tcPr>
          <w:p w:rsidR="0014236F" w:rsidRPr="00F96FEA" w:rsidRDefault="007B538F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Expropiación de tierras</w:t>
            </w:r>
          </w:p>
          <w:p w:rsidR="001A5F5C" w:rsidRPr="00F96FEA" w:rsidRDefault="001A5F5C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538F" w:rsidRPr="00F96FEA" w:rsidRDefault="007B538F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538F" w:rsidRPr="00F96FEA" w:rsidRDefault="007B538F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Acceso a los pastos de “Cerrado Garrido”</w:t>
            </w:r>
          </w:p>
          <w:p w:rsidR="007B538F" w:rsidRPr="00F96FEA" w:rsidRDefault="007B538F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B538F" w:rsidRPr="00F96FEA" w:rsidRDefault="007B538F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Etc.</w:t>
            </w:r>
          </w:p>
        </w:tc>
        <w:tc>
          <w:tcPr>
            <w:tcW w:w="2882" w:type="dxa"/>
          </w:tcPr>
          <w:p w:rsidR="0014236F" w:rsidRPr="00F96FEA" w:rsidRDefault="001A5F5C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El IARA para la realización de un canal que atravesaba la dehesa</w:t>
            </w:r>
          </w:p>
          <w:p w:rsidR="001A5F5C" w:rsidRPr="00F96FEA" w:rsidRDefault="001A5F5C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Conflicto con ganaderos de Villamanrique de la Condesa</w:t>
            </w:r>
          </w:p>
        </w:tc>
      </w:tr>
      <w:tr w:rsidR="0014236F" w:rsidTr="00D31212">
        <w:tc>
          <w:tcPr>
            <w:tcW w:w="8644" w:type="dxa"/>
            <w:gridSpan w:val="3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Dimensión simbólica</w:t>
            </w:r>
            <w:r w:rsidR="00DA60DF" w:rsidRPr="00F96FE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7C48F4" w:rsidRPr="00F96FEA">
              <w:rPr>
                <w:rFonts w:ascii="Garamond" w:hAnsi="Garamond"/>
                <w:sz w:val="24"/>
                <w:szCs w:val="24"/>
              </w:rPr>
              <w:t xml:space="preserve">Sentimiento de los vecinos de </w:t>
            </w:r>
            <w:proofErr w:type="spellStart"/>
            <w:r w:rsidR="007C48F4" w:rsidRPr="00F96FEA">
              <w:rPr>
                <w:rFonts w:ascii="Garamond" w:hAnsi="Garamond"/>
                <w:sz w:val="24"/>
                <w:szCs w:val="24"/>
              </w:rPr>
              <w:t>Aznalcázar</w:t>
            </w:r>
            <w:proofErr w:type="spellEnd"/>
            <w:r w:rsidR="007C48F4" w:rsidRPr="00F96FEA">
              <w:rPr>
                <w:rFonts w:ascii="Garamond" w:hAnsi="Garamond"/>
                <w:sz w:val="24"/>
                <w:szCs w:val="24"/>
              </w:rPr>
              <w:t xml:space="preserve"> de ser los mejores y más antiguos criadores de ganado de la región</w:t>
            </w:r>
            <w:r w:rsidR="00836A5F" w:rsidRPr="00F96FE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4236F" w:rsidTr="005E24A2">
        <w:tc>
          <w:tcPr>
            <w:tcW w:w="8644" w:type="dxa"/>
            <w:gridSpan w:val="3"/>
          </w:tcPr>
          <w:p w:rsidR="0014236F" w:rsidRPr="00F96FEA" w:rsidRDefault="00476E03" w:rsidP="00F8504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Evolución histórica</w:t>
            </w:r>
            <w:r w:rsidR="007C48F4" w:rsidRPr="00F96FE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836A5F" w:rsidRPr="00F96FEA">
              <w:rPr>
                <w:rFonts w:ascii="Garamond" w:hAnsi="Garamond"/>
                <w:sz w:val="24"/>
                <w:szCs w:val="24"/>
              </w:rPr>
              <w:t>Estos bienes proceden de la escisión de una mancomunidad de pastos formada por una treintena de pueblos en el siglo XIX. La Asociación de Ganadero</w:t>
            </w:r>
            <w:r w:rsidR="008C5235" w:rsidRPr="00F96FEA">
              <w:rPr>
                <w:rFonts w:ascii="Garamond" w:hAnsi="Garamond"/>
                <w:sz w:val="24"/>
                <w:szCs w:val="24"/>
              </w:rPr>
              <w:t>s</w:t>
            </w:r>
            <w:r w:rsidR="00836A5F" w:rsidRPr="00F96FEA">
              <w:rPr>
                <w:rFonts w:ascii="Garamond" w:hAnsi="Garamond"/>
                <w:sz w:val="24"/>
                <w:szCs w:val="24"/>
              </w:rPr>
              <w:t xml:space="preserve"> nace el 18 de marzo de 1899.</w:t>
            </w:r>
          </w:p>
        </w:tc>
      </w:tr>
      <w:tr w:rsidR="0014236F" w:rsidTr="008D1167">
        <w:tc>
          <w:tcPr>
            <w:tcW w:w="8644" w:type="dxa"/>
            <w:gridSpan w:val="3"/>
          </w:tcPr>
          <w:p w:rsidR="0014236F" w:rsidRPr="00F96FEA" w:rsidRDefault="00476E03" w:rsidP="00836A5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Observaciones</w:t>
            </w:r>
            <w:r w:rsidR="00836A5F" w:rsidRPr="00F96FE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836A5F" w:rsidRPr="00F96FEA">
              <w:rPr>
                <w:rFonts w:ascii="Garamond" w:hAnsi="Garamond"/>
                <w:sz w:val="24"/>
                <w:szCs w:val="24"/>
              </w:rPr>
              <w:t xml:space="preserve">El fin de la sociedad es fomentar la cría de ganado vacuno y yeguar y la protección de los vecinos de </w:t>
            </w:r>
            <w:proofErr w:type="spellStart"/>
            <w:r w:rsidR="00836A5F" w:rsidRPr="00F96FEA">
              <w:rPr>
                <w:rFonts w:ascii="Garamond" w:hAnsi="Garamond"/>
                <w:sz w:val="24"/>
                <w:szCs w:val="24"/>
              </w:rPr>
              <w:t>Aznalcázar</w:t>
            </w:r>
            <w:proofErr w:type="spellEnd"/>
            <w:r w:rsidR="00836A5F" w:rsidRPr="00F96FEA">
              <w:rPr>
                <w:rFonts w:ascii="Garamond" w:hAnsi="Garamond"/>
                <w:sz w:val="24"/>
                <w:szCs w:val="24"/>
              </w:rPr>
              <w:t xml:space="preserve"> que se dedican a dichos menesteres.</w:t>
            </w:r>
          </w:p>
        </w:tc>
      </w:tr>
      <w:tr w:rsidR="0014236F" w:rsidTr="00656123">
        <w:tc>
          <w:tcPr>
            <w:tcW w:w="8644" w:type="dxa"/>
            <w:gridSpan w:val="3"/>
          </w:tcPr>
          <w:p w:rsidR="00836A5F" w:rsidRPr="00F96FEA" w:rsidRDefault="00476E03" w:rsidP="00F8504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96FEA">
              <w:rPr>
                <w:rFonts w:ascii="Garamond" w:hAnsi="Garamond"/>
                <w:b/>
                <w:sz w:val="24"/>
                <w:szCs w:val="24"/>
              </w:rPr>
              <w:t>Documentación y bibliografía</w:t>
            </w:r>
            <w:r w:rsidR="00836A5F" w:rsidRPr="00F96FE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:rsidR="00836A5F" w:rsidRPr="00F96FEA" w:rsidRDefault="00836A5F" w:rsidP="00836A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 xml:space="preserve">García Fuentes, </w:t>
            </w:r>
            <w:proofErr w:type="spellStart"/>
            <w:r w:rsidRPr="00F96FEA">
              <w:rPr>
                <w:rFonts w:ascii="Garamond" w:hAnsi="Garamond"/>
                <w:sz w:val="24"/>
                <w:szCs w:val="24"/>
              </w:rPr>
              <w:t>Lutgardo</w:t>
            </w:r>
            <w:proofErr w:type="spellEnd"/>
            <w:r w:rsidRPr="00F96FEA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F96FEA">
              <w:rPr>
                <w:rFonts w:ascii="Garamond" w:hAnsi="Garamond"/>
                <w:i/>
                <w:sz w:val="24"/>
                <w:szCs w:val="24"/>
              </w:rPr>
              <w:t>Aznalcázar</w:t>
            </w:r>
            <w:proofErr w:type="spellEnd"/>
            <w:r w:rsidRPr="00F96FEA">
              <w:rPr>
                <w:rFonts w:ascii="Garamond" w:hAnsi="Garamond"/>
                <w:i/>
                <w:sz w:val="24"/>
                <w:szCs w:val="24"/>
              </w:rPr>
              <w:t xml:space="preserve"> en su historia.</w:t>
            </w:r>
            <w:r w:rsidRPr="00F96FEA">
              <w:rPr>
                <w:rFonts w:ascii="Garamond" w:hAnsi="Garamond"/>
                <w:sz w:val="24"/>
                <w:szCs w:val="24"/>
              </w:rPr>
              <w:t xml:space="preserve"> 1999. </w:t>
            </w:r>
          </w:p>
          <w:p w:rsidR="00836A5F" w:rsidRPr="00F96FEA" w:rsidRDefault="00836A5F" w:rsidP="00836A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 xml:space="preserve">Existen un estatuto de la sociedad y un reglamento. </w:t>
            </w:r>
          </w:p>
          <w:p w:rsidR="0014236F" w:rsidRPr="00F96FEA" w:rsidRDefault="00836A5F" w:rsidP="00836A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F96FEA">
              <w:rPr>
                <w:rFonts w:ascii="Garamond" w:hAnsi="Garamond"/>
                <w:sz w:val="24"/>
                <w:szCs w:val="24"/>
              </w:rPr>
              <w:t>Existe un archivo de la sociedad que ocupa todo el siglo XX.</w:t>
            </w:r>
          </w:p>
        </w:tc>
      </w:tr>
    </w:tbl>
    <w:p w:rsidR="00F85049" w:rsidRPr="00F85049" w:rsidRDefault="00F85049" w:rsidP="00F85049">
      <w:pPr>
        <w:ind w:left="2835" w:hanging="283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</w:t>
      </w:r>
    </w:p>
    <w:sectPr w:rsidR="00F85049" w:rsidRPr="00F85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D57"/>
    <w:multiLevelType w:val="hybridMultilevel"/>
    <w:tmpl w:val="CAE8A122"/>
    <w:lvl w:ilvl="0" w:tplc="4B5C6F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CD"/>
    <w:rsid w:val="000D4323"/>
    <w:rsid w:val="0014236F"/>
    <w:rsid w:val="001A5F5C"/>
    <w:rsid w:val="002A2ED5"/>
    <w:rsid w:val="00476E03"/>
    <w:rsid w:val="007B538F"/>
    <w:rsid w:val="007C48F4"/>
    <w:rsid w:val="007E5518"/>
    <w:rsid w:val="00836A5F"/>
    <w:rsid w:val="008C5235"/>
    <w:rsid w:val="00A950BA"/>
    <w:rsid w:val="00DA60DF"/>
    <w:rsid w:val="00E847CD"/>
    <w:rsid w:val="00F85049"/>
    <w:rsid w:val="00F96FEA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12</cp:revision>
  <dcterms:created xsi:type="dcterms:W3CDTF">2017-03-19T19:11:00Z</dcterms:created>
  <dcterms:modified xsi:type="dcterms:W3CDTF">2017-03-19T19:57:00Z</dcterms:modified>
</cp:coreProperties>
</file>